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D59" w:rsidRPr="00725D59" w:rsidRDefault="00725D59" w:rsidP="00D069C3">
      <w:pPr>
        <w:spacing w:before="100" w:beforeAutospacing="1" w:after="300" w:line="390" w:lineRule="atLeast"/>
        <w:jc w:val="center"/>
        <w:outlineLvl w:val="1"/>
        <w:rPr>
          <w:rFonts w:ascii="Open Sans" w:eastAsia="Times New Roman" w:hAnsi="Open Sans" w:cs="Times New Roman"/>
          <w:b/>
          <w:bCs/>
          <w:color w:val="005EA5"/>
          <w:kern w:val="36"/>
          <w:sz w:val="28"/>
          <w:szCs w:val="28"/>
          <w:lang w:eastAsia="ru-RU"/>
        </w:rPr>
      </w:pPr>
      <w:r w:rsidRPr="00725D59">
        <w:rPr>
          <w:rFonts w:ascii="Open Sans" w:eastAsia="Times New Roman" w:hAnsi="Open Sans" w:cs="Times New Roman"/>
          <w:b/>
          <w:bCs/>
          <w:color w:val="005EA5"/>
          <w:kern w:val="36"/>
          <w:sz w:val="28"/>
          <w:szCs w:val="28"/>
          <w:lang w:eastAsia="ru-RU"/>
        </w:rPr>
        <w:t>Письмо&gt; Минкультуры России от 14.07.2016 N 217-01-39-нм</w:t>
      </w:r>
      <w:proofErr w:type="gramStart"/>
      <w:r w:rsidRPr="00725D59">
        <w:rPr>
          <w:rFonts w:ascii="Open Sans" w:eastAsia="Times New Roman" w:hAnsi="Open Sans" w:cs="Times New Roman"/>
          <w:b/>
          <w:bCs/>
          <w:color w:val="005EA5"/>
          <w:kern w:val="36"/>
          <w:sz w:val="28"/>
          <w:szCs w:val="28"/>
          <w:lang w:eastAsia="ru-RU"/>
        </w:rPr>
        <w:t>&lt; О</w:t>
      </w:r>
      <w:proofErr w:type="gramEnd"/>
      <w:r w:rsidRPr="00725D59">
        <w:rPr>
          <w:rFonts w:ascii="Open Sans" w:eastAsia="Times New Roman" w:hAnsi="Open Sans" w:cs="Times New Roman"/>
          <w:b/>
          <w:bCs/>
          <w:color w:val="005EA5"/>
          <w:kern w:val="36"/>
          <w:sz w:val="28"/>
          <w:szCs w:val="28"/>
          <w:lang w:eastAsia="ru-RU"/>
        </w:rPr>
        <w:t xml:space="preserve"> направлении рекомендаций по особенностям введения типовых отраслевых норм труда на работы, выполняемые в культурно-досуговых учреждениях и других организациях культурно-досугового типа&gt;</w:t>
      </w:r>
    </w:p>
    <w:p w:rsidR="00725D59" w:rsidRPr="00725D59" w:rsidRDefault="00725D59" w:rsidP="00725D59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0" w:name="100001"/>
      <w:bookmarkEnd w:id="0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МИНИСТЕРСТВО КУЛЬТУРЫ РОССИЙСКОЙ ФЕДЕРАЦИИ</w:t>
      </w:r>
    </w:p>
    <w:p w:rsidR="00725D59" w:rsidRPr="00725D59" w:rsidRDefault="00725D59" w:rsidP="00725D59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" w:name="100002"/>
      <w:bookmarkEnd w:id="1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ПИСЬМО</w:t>
      </w:r>
    </w:p>
    <w:p w:rsidR="00725D59" w:rsidRPr="00725D59" w:rsidRDefault="00725D59" w:rsidP="00725D59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от 14 июля 2016 г. N 217-01-39-нм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2" w:name="100003"/>
      <w:bookmarkEnd w:id="2"/>
      <w:proofErr w:type="gram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Министерство культуры Российской Федерации в целях оказания методической помощи направляет </w:t>
      </w:r>
      <w:hyperlink r:id="rId4" w:anchor="100016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рекомендации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по особенностям введения типовых отраслевых норм труда на работы, выполняемые в культурно-досуговых учреждениях и других организациях культурно-досугового типа с разъяснениями по применению приказов Минкультуры России от 30.12.2015 N 3448 "Об утверждении типовых отраслевых норм труда на работы, выполняемые в культурно-досуговых учреждениях и других организациях культурно-досугового типа", от 30.12.2015 N</w:t>
      </w:r>
      <w:proofErr w:type="gram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3453 "Об утверждении Методических рекомендаций по формированию штатной численности работников государственных (муниципальных) культурно-досуговых учреждений и других организаций культурно-досугового типа с учетом отраслевой специфики".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3" w:name="100004"/>
      <w:bookmarkEnd w:id="3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Указанные приказы размещены на официальном сайте Минкультуры России </w:t>
      </w:r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mkrf.ru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в разделах "Главная", "Министерство", "Департаменты", "Департамент экономики и финансов", "Приказы"/"Методические рекомендации" и могут быть использованы в работе.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4" w:name="100005"/>
      <w:bookmarkEnd w:id="4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Обращаем внимание на необходимость внедрения типовых отраслевых норм труда в учреждениях и указания соответствующей информации в рамках отчета по мониторингу </w:t>
      </w:r>
      <w:hyperlink r:id="rId5" w:anchor="100009" w:history="1">
        <w:proofErr w:type="gramStart"/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Программы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поэтапного совершенствования системы оплаты труда</w:t>
      </w:r>
      <w:proofErr w:type="gram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в государственных (муниципальных) учреждениях на 2012 - 2018 годы, утвержденной распоряжением Правительства Российской Федерации от 26.11.2012 N 2190-р.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5" w:name="100006"/>
      <w:bookmarkEnd w:id="5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Одновременно сообщаем, что в целях организации управления процессами планирования и контроля формирования штатных расписаний учреждений культуры на основе утвержденных норм труда Минкультуры России разработан интерактивный электронный сервис, который обеспечивает: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6" w:name="100007"/>
      <w:bookmarkEnd w:id="6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расчет трудозатрат по видам деятельности и операциям;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7" w:name="100008"/>
      <w:bookmarkEnd w:id="7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расчет оптимальной штатной численности учреждения;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8" w:name="100009"/>
      <w:bookmarkEnd w:id="8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распределение видов деятельности и расчет трудозатрат, штатной численности по категориям: административно-управленческий персонал, основной персонал и вспомогательный персонал;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9" w:name="100010"/>
      <w:bookmarkEnd w:id="9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lastRenderedPageBreak/>
        <w:t>формирование штатного расписания учреждений с учетом определенной нормативной численности в соответствии с выполняемыми в учреждении объемами работ.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0" w:name="100011"/>
      <w:bookmarkEnd w:id="10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Сервис позволяет проанализировать деятельность учреждения в разрезе видов и трудовых операций, рассчитать нормативную штатную численность и сформировать штатное расписание в соответствии с принятыми нормами труда, времени и численности.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1" w:name="100012"/>
      <w:bookmarkEnd w:id="11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В настоящее время данный сервис доступен для библиотек, музеев, зоопарков. В IV квартале 2016 г. также будет доступен для культурно-досуговых учреждений.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2" w:name="100013"/>
      <w:bookmarkEnd w:id="12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Доступ в указанный сервис предоставляется всем учреждениям в соответствии с поступившими запросами. Для получения доступа необходимо направлять письменный запрос с указанием ИНН и наименования организации по адресу электронной почты </w:t>
      </w:r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support@intellectr.ru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, далее следовать присылаемым рекомендациям.</w:t>
      </w:r>
    </w:p>
    <w:p w:rsidR="00725D59" w:rsidRPr="00725D59" w:rsidRDefault="00725D59" w:rsidP="00725D59">
      <w:pPr>
        <w:spacing w:before="100" w:beforeAutospacing="1" w:after="180" w:line="330" w:lineRule="atLeast"/>
        <w:jc w:val="right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3" w:name="100014"/>
      <w:bookmarkEnd w:id="13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Н.А.МАЛАКОВ</w:t>
      </w:r>
    </w:p>
    <w:p w:rsidR="00725D59" w:rsidRPr="00725D59" w:rsidRDefault="00725D59" w:rsidP="00725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725D59" w:rsidRPr="00725D59" w:rsidRDefault="00725D59" w:rsidP="00725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725D59" w:rsidRPr="00725D59" w:rsidRDefault="00725D59" w:rsidP="00725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725D59" w:rsidRPr="00725D59" w:rsidRDefault="00725D59" w:rsidP="00725D59">
      <w:pPr>
        <w:spacing w:before="100" w:beforeAutospacing="1" w:after="180" w:line="330" w:lineRule="atLeast"/>
        <w:jc w:val="right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4" w:name="100015"/>
      <w:bookmarkEnd w:id="14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Приложение</w:t>
      </w:r>
    </w:p>
    <w:p w:rsidR="00725D59" w:rsidRPr="00725D59" w:rsidRDefault="00725D59" w:rsidP="00725D59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5" w:name="100016"/>
      <w:bookmarkEnd w:id="15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РЕКОМЕНДАЦИИ</w:t>
      </w:r>
    </w:p>
    <w:p w:rsidR="00725D59" w:rsidRPr="00725D59" w:rsidRDefault="00725D59" w:rsidP="00725D59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ПО ОСОБЕННОСТЯМ ВВЕДЕНИЯ ТИПОВЫХ ОТРАСЛЕВЫХ НОРМ ТРУДА</w:t>
      </w:r>
    </w:p>
    <w:p w:rsidR="00725D59" w:rsidRPr="00725D59" w:rsidRDefault="00725D59" w:rsidP="00725D59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НА РАБОТЫ, ВЫПОЛНЯЕМЫЕ В КУЛЬТУРНО-ДОСУГОВЫХ УЧРЕЖДЕНИЯХ</w:t>
      </w:r>
    </w:p>
    <w:p w:rsidR="00725D59" w:rsidRPr="00725D59" w:rsidRDefault="00725D59" w:rsidP="00725D59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И ДРУГИХ ОРГАНИЗАЦИЯХ КУЛЬТУРНО-ДОСУГОВОГО ТИПА</w:t>
      </w:r>
    </w:p>
    <w:p w:rsidR="00725D59" w:rsidRPr="00725D59" w:rsidRDefault="00725D59" w:rsidP="00725D59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(ДАЛЕЕ - РЕКОМЕНДАЦИИ)</w:t>
      </w:r>
    </w:p>
    <w:p w:rsidR="00725D59" w:rsidRPr="00725D59" w:rsidRDefault="00725D59" w:rsidP="00725D59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6" w:name="100017"/>
      <w:bookmarkEnd w:id="16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I. Общие положения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7" w:name="100018"/>
      <w:bookmarkEnd w:id="17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1. </w:t>
      </w:r>
      <w:proofErr w:type="gram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Настоящие Рекомендации разработаны в целях оказания методической помощи по введению типовых отраслевых </w:t>
      </w:r>
      <w:hyperlink r:id="rId6" w:anchor="100010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норм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труда на работы, выполняемые в культурно-досуговых учреждениях и других организациях культурно-досугового типа (далее - нормы труда КДУ), утвержденных приказом Минкультуры России от 30.12.2015 N 3448 (зарегистрирован Минюстом России 02.02.2016, регистрационный N 40938) (далее - приказ N 3448) и в дополнение к Методическим </w:t>
      </w:r>
      <w:hyperlink r:id="rId7" w:anchor="100009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рекомендациям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по формированию штатной численности работников государственных</w:t>
      </w:r>
      <w:proofErr w:type="gram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(муниципальных) культурно-досуговых учреждений и других организаций культурно-досугового типа с учетом отраслевой специфики (далее - Учреждение), утвержденным приказом Минкультуры России от 30.12.2015 N 3453 (далее - Методические рекомендации N 3453).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8" w:name="100019"/>
      <w:bookmarkEnd w:id="18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lastRenderedPageBreak/>
        <w:t xml:space="preserve">2. Рекомендации могут быть использованы при введении </w:t>
      </w:r>
      <w:hyperlink r:id="rId8" w:anchor="100010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норм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труда КДУ в культурно-досуговых учреждениях и других организациях культурно-досугового типа любых форм собственности и организационно-правовых форм.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9" w:name="100020"/>
      <w:bookmarkEnd w:id="19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3. </w:t>
      </w:r>
      <w:hyperlink r:id="rId9" w:anchor="100010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Нормы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труда КДУ разработаны на основе расчетов результатов исследований и их апробаций в учреждениях.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20" w:name="100021"/>
      <w:bookmarkEnd w:id="20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4. </w:t>
      </w:r>
      <w:hyperlink r:id="rId10" w:anchor="100010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Нормы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труда КДУ характеризуют оптимальный уровень напряженности (интенсивности) труда при выполнении работ (оказании государственных (муниципальных) услуг) по основной деятельности.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21" w:name="100022"/>
      <w:bookmarkEnd w:id="21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5. Введение в действие норм труда и штатной численности персонала, а также их пересмотр осуществляется в соответствии с Трудовым </w:t>
      </w:r>
      <w:hyperlink r:id="rId11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кодексом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Российской Федерации (далее - ТК РФ) с учетом мнения представительного органа работников.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22" w:name="100023"/>
      <w:bookmarkEnd w:id="22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6. При внедрении </w:t>
      </w:r>
      <w:hyperlink r:id="rId12" w:anchor="100010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норм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труда КДУ в Учреждениях проводится оценка потребности в квалификационных работах согласно государственному заданию, на основе которых вводятся соответствующие должности и профессии.</w:t>
      </w:r>
    </w:p>
    <w:p w:rsidR="00725D59" w:rsidRPr="00725D59" w:rsidRDefault="00725D59" w:rsidP="00725D59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23" w:name="100024"/>
      <w:bookmarkEnd w:id="23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II. Разработка нормирования труда в Учреждении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24" w:name="100025"/>
      <w:bookmarkEnd w:id="24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7. Процесс нормирования труда в Учреждении основан на определении норм затрат труда, под которыми понимается установленный для работника объем работы в час, день (смену), неделю, месяц, год, который он обязан выполнить при нормальных условиях работы. Нормы затрат труда являются исходной базой для осуществляемой в учреждении работы по организации труда. С их помощью определяются эффективные (требующие наименьших затрат рабочего времени) варианты технологии оказания услуг, наиболее рациональные формы разделения и кооперации труда, эффективные приемы и способы выполнения работы.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25" w:name="100026"/>
      <w:bookmarkEnd w:id="25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8. При внедрении норм затрат труда устанавливается предусмотренный регламент работы, который должен соблюдаться каждым работником на его индивидуальном или коллективном рабочем месте.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26" w:name="100027"/>
      <w:bookmarkEnd w:id="26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9. Разработка нормирования труда в Учреждении осуществляется в соответствии с Методическими </w:t>
      </w:r>
      <w:hyperlink r:id="rId13" w:anchor="100008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рекомендациями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по разработке систем нормирования труда в государственных (муниципальных) учреждениях, утвержденных приказом Минтруда России от 30.09.2013 N 504 (далее - Методические рекомендации N 504).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27" w:name="100028"/>
      <w:bookmarkEnd w:id="27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10. </w:t>
      </w:r>
      <w:proofErr w:type="gram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На основе типовых норм труда могут быть определены для применения в Учреждении:</w:t>
      </w:r>
      <w:proofErr w:type="gramEnd"/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28" w:name="100029"/>
      <w:bookmarkEnd w:id="28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нормы времени (затраты рабочего времени на выполнение единицы работы (функции) или оказание услуги одним или группой работников соответствующей квалификации);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29" w:name="100030"/>
      <w:bookmarkEnd w:id="29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нормы обслуживания (количество объектов (рабочих мест, оборудования, площадей и т.п.), которые работник или группа работников соответствующей квалификации обязаны обслужить в течение единицы рабочего времени);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30" w:name="100031"/>
      <w:bookmarkEnd w:id="30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lastRenderedPageBreak/>
        <w:t>нормы численности (установленная численность работников определенного профессионально-квалификационного состава, необходимая для выполнения конкретных производственных, управленческих функций или объемов работ).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31" w:name="100032"/>
      <w:bookmarkEnd w:id="31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Рекомендуемые методики определения нормы численности на основе типовых норм времени и типовых норм обслуживания, определения нормы обслуживания на основе типовых норм времени приведены в </w:t>
      </w:r>
      <w:hyperlink r:id="rId14" w:anchor="100087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Приложении N 1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к Методическим рекомендациям N 504.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32" w:name="100033"/>
      <w:bookmarkEnd w:id="32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11. Согласно Методическим </w:t>
      </w:r>
      <w:hyperlink r:id="rId15" w:anchor="100008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рекомендациям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N 504: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33" w:name="100034"/>
      <w:bookmarkEnd w:id="33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1) при создании более прогрессивных организационно-технических условий выполнения технологических (трудовых) процессов или их несоответствии типовым нормам труда рекомендуется использовать типовые нормы труда в качестве базы при определении и обосновании норм труда путем их корректировки с учетом фактических организационно-технологических условий выполнения технологических (трудовых) процессов в Учреждении.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34" w:name="100035"/>
      <w:bookmarkEnd w:id="34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Примеры (алгоритмы) расчета норм труда путем коррекции типовых норм труда с учетом организационно-технологических условий выполнения технологических (трудовых) процессов в учреждении приведены в </w:t>
      </w:r>
      <w:hyperlink r:id="rId16" w:anchor="100210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приложении N 2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к Методическим рекомендациям N 504;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35" w:name="100036"/>
      <w:bookmarkEnd w:id="35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2) при планировании мер по повышению эффективности оказания государственных (муниципальных) услуг типовые нормы труда рекомендуется использовать в качестве эталона: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36" w:name="100037"/>
      <w:bookmarkEnd w:id="36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для учреждений, в которых организационно-технические условия ниже уровня, на который рассчитаны типовые нормы;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37" w:name="100038"/>
      <w:bookmarkEnd w:id="37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при исследовании затрат рабочего времени и анализе потерь рабочего времени.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38" w:name="100039"/>
      <w:bookmarkEnd w:id="38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После принятия мер по изменению организационно-технических условий выполнения технологических (трудовых) процессов нормы труда в Учреждении могут быть пересмотрены в установленном законодательством порядке;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39" w:name="100040"/>
      <w:bookmarkEnd w:id="39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3) при отсутствии типовых норм труда по отдельным видам работ и рабочим местам соответствующие нормы труда разрабатываются в Учреждении с учетом рекомендаций организации, осуществляющей функции и полномочия учредителя, либо с привлечением соответствующих специалистов в установленном порядке;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40" w:name="100041"/>
      <w:bookmarkEnd w:id="40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4) содержанием работы по определению норм труда являются: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41" w:name="100042"/>
      <w:bookmarkEnd w:id="41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анализ трудового процесса на основе стандарта оказания государственной (муниципальной) услуги, разделение его на части;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42" w:name="100043"/>
      <w:bookmarkEnd w:id="42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lastRenderedPageBreak/>
        <w:t>выбор оптимального варианта технологии и организации труда, эффективных методов и приемов работы;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43" w:name="100044"/>
      <w:bookmarkEnd w:id="43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проектирование режимов работы оборудования, приемов и методов труда, систем обслуживания рабочих мест, режимов труда и отдыха;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44" w:name="100045"/>
      <w:bookmarkEnd w:id="44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определение норм труда в соответствии с особенностями технологического и трудового процессов, их внедрение и последующая корректировка по мере изменения организационно-технических условий выполнения технологических (трудовых) процессов;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45" w:name="100046"/>
      <w:bookmarkEnd w:id="45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5) наряду с нормами труда, установленными в Учреждении на неопределенный срок, для стабильных по организационно-техническим условиям выполнения технологических (трудовых) процессов, могут применяться временные и разовые нормы труда.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46" w:name="100047"/>
      <w:bookmarkEnd w:id="46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Временные нормы труда устанавливаются на период освоения тех или иных работ при отсутствии утвержденных нормативных материалов для нормирования труда.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47" w:name="100048"/>
      <w:bookmarkEnd w:id="47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Срок действия временных норм труда, определяемых Учреждением, рекомендуется устанавливать не более 3 месяцев.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48" w:name="100049"/>
      <w:bookmarkEnd w:id="48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Разовые нормы труда определяются работодателем на отдельные работы, носящие единичный характер (внеплановые, аварийные).</w:t>
      </w:r>
    </w:p>
    <w:p w:rsidR="00725D59" w:rsidRPr="00725D59" w:rsidRDefault="00725D59" w:rsidP="00725D59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49" w:name="100050"/>
      <w:bookmarkEnd w:id="49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III. Установление системы нормирования труда в Учреждении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50" w:name="100051"/>
      <w:bookmarkEnd w:id="50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12. Систему нормирования труда в Учреждении рекомендуется устанавливать в Положении о системе нормирования труда учреждения (далее - Положение), которое либо утверждается локальным нормативным актом учреждения с учетом мнения представительного органа работников, либо включается в качестве отдельного раздела в коллективный договор.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51" w:name="100052"/>
      <w:bookmarkEnd w:id="51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13. Учет мнения представительного органа работников рекомендуется осуществлять в порядке принятия локальных нормативных актов, установленном трудовым законодательством.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52" w:name="100053"/>
      <w:bookmarkEnd w:id="52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14. В Положение рекомендуется включать следующие разделы: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53" w:name="100054"/>
      <w:bookmarkEnd w:id="53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1) "Применяемые в учреждении нормы труда", в котором приводятся: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54" w:name="100055"/>
      <w:bookmarkEnd w:id="54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ссылки на типовые нормы труда, использованные при определении норм труда;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55" w:name="100056"/>
      <w:bookmarkEnd w:id="55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примененные методики определения нормы численности на основе типовой нормы времени, нормы численности на основе типовой нормы обслуживания и нормы обслуживания на основе типовой нормы времени (если проводились расчеты);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56" w:name="100057"/>
      <w:bookmarkEnd w:id="56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lastRenderedPageBreak/>
        <w:t>расчет коррекции типовых норм труда с учетом организационно-технических условий выполнения технологических (трудовых) процессов в учреждении (если проводилась коррекция);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57" w:name="100058"/>
      <w:bookmarkEnd w:id="57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методы и способы установления норм труда по отдельным должностям (профессиям рабочих), видам работ (функциям), по которым отсутствуют типовые нормы труда;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58" w:name="100059"/>
      <w:bookmarkEnd w:id="58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2) "Порядок внедрения норм труда";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59" w:name="100060"/>
      <w:bookmarkEnd w:id="59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3) "Порядок организации замены и пересмотра норм труда";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60" w:name="100061"/>
      <w:bookmarkEnd w:id="60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4) "Меры, направленные на соблюдение установленных норм труда".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61" w:name="100062"/>
      <w:bookmarkEnd w:id="61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15. При заключении трудового договора с работником рекомендуется ознакомить его с нормами труда. В случае установления работнику норм времени на выполнение работ (оказание услуг) или норм обслуживания рекомендуется в трудовом договоре с работником указать, что их выполнение осуществляется в пределах установленной ему продолжительности рабочего времени.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62" w:name="100063"/>
      <w:bookmarkEnd w:id="62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16. Работники извещаются о внедрении новых норм труда не позднее, чем за два месяца до их введения в действие. В аналогичный срок времени работники извещаются о корректировке ошибочных норм труда (нормы </w:t>
      </w:r>
      <w:proofErr w:type="gram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труда</w:t>
      </w:r>
      <w:proofErr w:type="gram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при установлении которых были неправильно учтены организационно-технические условия выполнения технологических (трудовых) процессов или допущены неточности в применении нормативных материалов либо в проведении расчетов).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63" w:name="100064"/>
      <w:bookmarkEnd w:id="63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С учетом мнения представительного органа работников о снижении ошибочных норм труда работники могут быть уведомлены в более короткий срок.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64" w:name="100065"/>
      <w:bookmarkEnd w:id="64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17. Форма извещения о внедрении новых норм труда определяется учреждением самостоятельно. При этом рекомендуется указать ранее действовавшие нормы труда, новые нормы труда, факторы, послужившие основанием введения новых норм труда или их корректировки.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65" w:name="100066"/>
      <w:bookmarkEnd w:id="65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18. Рекомендуется перед введением новых норм труда провести инструктаж и обучение работников наиболее эффективным приемам и методам выполнения работ, при этом могут быть использованы как индивидуальные, так и групповые формы их проведения.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66" w:name="100067"/>
      <w:bookmarkEnd w:id="66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19. При проведении работ по освоению норм труда рекомендуется анализировать степень освоения работ каждым работником на основе данных о выполнении норм.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67" w:name="100068"/>
      <w:bookmarkEnd w:id="67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При освоении норм труда в связи с введением новой техники и технологии, когда наряду с овладением рациональными приемами труда работникам необходимо приобретение новых теоретических и практических знаний, рекомендуется проведение обучения работников.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68" w:name="100069"/>
      <w:bookmarkEnd w:id="68"/>
      <w:proofErr w:type="gram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lastRenderedPageBreak/>
        <w:t>При освоении новых видов работ (стандартов оказания государственных (муниципальных услуг) или несоответствии фактических организационно-технических условий выполнения технологических (трудовых) процессов запроектированным во вновь вводимых нормах труда рекомендуется применять поправочные коэффициенты.</w:t>
      </w:r>
      <w:proofErr w:type="gramEnd"/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69" w:name="100070"/>
      <w:bookmarkEnd w:id="69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20. Рекомендуется предусмотреть срок проведения анализа для определения целесообразности пересмотра применяющихся норм труда не реже чем один раз в пять лет. По итогам анализа может быть принято решение о сохранении установленных норм труда или о разработке новых норм труда. </w:t>
      </w:r>
      <w:proofErr w:type="gram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До введения новых норм труда продолжают применяться ранее установленные.</w:t>
      </w:r>
      <w:proofErr w:type="gramEnd"/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70" w:name="100071"/>
      <w:bookmarkEnd w:id="70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Нормы труда могут быть пересмотрены по мере совершенствования или внедрения новой техники, технологии и проведения организационных либо иных мероприятий, обеспечивающих рост производительности труда, а также в случае использования физически и морально устаревшего оборудования.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71" w:name="100072"/>
      <w:bookmarkEnd w:id="71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Рекомендуется внедрять новые нормы труда в учреждениях одновременно с внедрением новых стандартов оказания услуг, новой техники, технологии, видов продукции (услуг).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72" w:name="100073"/>
      <w:bookmarkEnd w:id="72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Иные основания пересмотра норм труда не установлены трудовым законодательством. Перевыполнение норм труда отдельными работниками, в том числе за счет высокого уровня личных профессиональных качеств, применения по их инициативе новых приемов труда и совершенствования рабочих мест не может рассматриваться в качестве основания для пересмотра установленных в учреждении норм труда.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73" w:name="100074"/>
      <w:bookmarkEnd w:id="73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Пересмотр ошибочных норм труда осуществляется по мере их выявления с учетом мнения представительного органа работников.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74" w:name="100075"/>
      <w:bookmarkEnd w:id="74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21. Работодателю рекомендуется осуществлять меры, направленные на соблюдение установленных норм труда, включая обеспечение нормальных условий для выполнения работниками норм труда. К таким условиям, в частности, относятся: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75" w:name="100076"/>
      <w:bookmarkEnd w:id="75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исправное состояние помещений, сооружений, машин, технологической оснастки и оборудования;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76" w:name="100077"/>
      <w:bookmarkEnd w:id="76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своевременное обеспечение технической и иной необходимой для работы документацией;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77" w:name="100078"/>
      <w:bookmarkEnd w:id="77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надлежащее качество материалов, инструментов, иных средств и предметов, необходимых для выполнения работы, их своевременное предоставление работнику;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78" w:name="100079"/>
      <w:bookmarkEnd w:id="78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условия труда, соответствующие требованиям охраны труда и безопасности производства.</w:t>
      </w:r>
    </w:p>
    <w:p w:rsidR="00725D59" w:rsidRPr="00725D59" w:rsidRDefault="00725D59" w:rsidP="00725D59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79" w:name="100080"/>
      <w:bookmarkEnd w:id="79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IV. Особенности введения типовых отраслевых норм труда</w:t>
      </w:r>
    </w:p>
    <w:p w:rsidR="00725D59" w:rsidRPr="00725D59" w:rsidRDefault="00725D59" w:rsidP="00725D59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на работы, выполняемые в культурно-досуговых учреждениях</w:t>
      </w:r>
    </w:p>
    <w:p w:rsidR="00725D59" w:rsidRPr="00725D59" w:rsidRDefault="00725D59" w:rsidP="00725D59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и других организациях культурно-досугового типа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80" w:name="100081"/>
      <w:bookmarkEnd w:id="80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lastRenderedPageBreak/>
        <w:t xml:space="preserve">22. Штатная численность работников Учреждения рассчитывается на основе показателей трудозатрат и нормативной численности по видам норм, установленных </w:t>
      </w:r>
      <w:hyperlink r:id="rId17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приказом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N 3448, с учетом порядка определения штатной численности работников, установленного в </w:t>
      </w:r>
      <w:hyperlink r:id="rId18" w:anchor="100080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разделе II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Методических рекомендаций N 3453.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81" w:name="100082"/>
      <w:bookmarkEnd w:id="81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23. На основе </w:t>
      </w:r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госзадания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в первую очередь следует определить общие трудозатраты на объем работ руководителей коллективов планируемого периода (</w:t>
      </w:r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Тобщ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.) по следующей формуле:</w:t>
      </w:r>
    </w:p>
    <w:p w:rsidR="00725D59" w:rsidRPr="00725D59" w:rsidRDefault="00725D59" w:rsidP="00725D59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82" w:name="100083"/>
      <w:bookmarkEnd w:id="82"/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Тобщ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= N </w:t>
      </w:r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x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</w:t>
      </w:r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m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, где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83" w:name="100084"/>
      <w:bookmarkEnd w:id="83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N - количество занятий в неделю, согласно графику занятий, но не реже двух раз в неделю;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84" w:name="100085"/>
      <w:bookmarkEnd w:id="84"/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m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- продолжительность одного занятия в количестве учебных часов (не менее трех учебных часов) с учетом времени на отдых по 15 минут на занятие.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85" w:name="100086"/>
      <w:bookmarkEnd w:id="85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Так, например, занятия в коллективе проводятся 2 раза в неделю (N) по 3 учебных часа (</w:t>
      </w:r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m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) каждое занятие (60 мин. с учетом 15 мин. времени отдыха):</w:t>
      </w:r>
    </w:p>
    <w:p w:rsidR="00725D59" w:rsidRPr="00725D59" w:rsidRDefault="00725D59" w:rsidP="00725D59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86" w:name="100087"/>
      <w:bookmarkEnd w:id="86"/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Тобщ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. = 2 </w:t>
      </w:r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x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3 час. = 6 час.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87" w:name="100088"/>
      <w:bookmarkEnd w:id="87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Далее определяем нормы численности руководителя одного клубного формирования (</w:t>
      </w:r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Чн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):</w:t>
      </w:r>
    </w:p>
    <w:p w:rsidR="00725D59" w:rsidRPr="00725D59" w:rsidRDefault="00725D59" w:rsidP="00725D59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88" w:name="100089"/>
      <w:bookmarkEnd w:id="88"/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Чн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= </w:t>
      </w:r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Тобщ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. / </w:t>
      </w:r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Фрв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, где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89" w:name="100090"/>
      <w:bookmarkEnd w:id="89"/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Фрв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- фонд рабочего времени на планируемый период, час;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90" w:name="100091"/>
      <w:bookmarkEnd w:id="90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Например: фонд времени руководителя 1 клубного формирования за неделю, предназначенный для проведения занятий (</w:t>
      </w:r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Фрв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), составляет 18 часов в неделю, норма численности руководителя одного клубного формирования за неделю (</w:t>
      </w:r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Чн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) = 6 часов / 18 часов = 0,33 шт. ед.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91" w:name="100092"/>
      <w:bookmarkEnd w:id="91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Затем определяем плановый коэффициент невыходов работников в Учреждении (</w:t>
      </w:r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Кн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):</w:t>
      </w:r>
    </w:p>
    <w:p w:rsidR="00725D59" w:rsidRPr="00725D59" w:rsidRDefault="00725D59" w:rsidP="00725D59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92" w:name="100093"/>
      <w:bookmarkEnd w:id="92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93" w:name="100094"/>
      <w:bookmarkEnd w:id="93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Например, работник отсутствовал на работе 38 дней, из которых: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94" w:name="100095"/>
      <w:bookmarkEnd w:id="94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28 дней - оплачиваемый отпуск;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95" w:name="100096"/>
      <w:bookmarkEnd w:id="95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10 дней - отсутствие по уважительной причине (больничные, административные отпуска и т.п.);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96" w:name="100097"/>
      <w:bookmarkEnd w:id="96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247 дней - количество рабочих дней в году согласно производственному календарю на 2016 год.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97" w:name="100098"/>
      <w:bookmarkEnd w:id="97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При этом определяем % невыходов:</w:t>
      </w:r>
    </w:p>
    <w:p w:rsidR="00725D59" w:rsidRPr="00725D59" w:rsidRDefault="00725D59" w:rsidP="00725D59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98" w:name="100099"/>
      <w:bookmarkEnd w:id="98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lastRenderedPageBreak/>
        <w:t>,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99" w:name="100100"/>
      <w:bookmarkEnd w:id="99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Итого коэффициент невыходов составляет:</w:t>
      </w:r>
    </w:p>
    <w:p w:rsidR="00725D59" w:rsidRPr="00725D59" w:rsidRDefault="00725D59" w:rsidP="00725D59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00" w:name="100101"/>
      <w:bookmarkEnd w:id="100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01" w:name="100102"/>
      <w:bookmarkEnd w:id="101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С учетом коэффициента невыходов рассчитывается штатная численность руководителя 1 клубного формирования (</w:t>
      </w:r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Чш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), которая определяется по следующей формуле:</w:t>
      </w:r>
    </w:p>
    <w:p w:rsidR="00725D59" w:rsidRPr="00725D59" w:rsidRDefault="00725D59" w:rsidP="00725D59">
      <w:pPr>
        <w:spacing w:before="100" w:beforeAutospacing="1" w:after="180" w:line="330" w:lineRule="atLeast"/>
        <w:jc w:val="center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02" w:name="100103"/>
      <w:bookmarkEnd w:id="102"/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Чш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= </w:t>
      </w:r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Чн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</w:t>
      </w:r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x</w:t>
      </w:r>
      <w:proofErr w:type="spellEnd"/>
      <w:proofErr w:type="gram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К</w:t>
      </w:r>
      <w:proofErr w:type="gram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н.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03" w:name="100104"/>
      <w:bookmarkEnd w:id="103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В данном примере </w:t>
      </w:r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Чш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= 0,33 </w:t>
      </w:r>
      <w:proofErr w:type="spell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x</w:t>
      </w:r>
      <w:proofErr w:type="spell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1,15 = 0,38 (= 0,5 шт. ед. на 1 клубное формирование).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04" w:name="100105"/>
      <w:bookmarkEnd w:id="104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По необходимости руководители могут приглашать коллективы на репетиции чаще предусмотренного расписанием времени, например, в период подготовки к концерту, фестивалю, конкурсу, смотру и другим подобным мероприятиям. При этом время расписания занятий должно быть согласовано с администрацией Учреждения и заранее сообщено участникам коллектива.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05" w:name="100106"/>
      <w:bookmarkEnd w:id="105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Фонд рабочего времени руководителя клубного формирования в соответствии со </w:t>
      </w:r>
      <w:hyperlink r:id="rId19" w:anchor="100675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статьей 91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ТК РФ определяется исходя из 40-часовой рабочей недели.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06" w:name="100107"/>
      <w:bookmarkEnd w:id="106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24. С учетом штатной численности руководителя клубного формирования определяются нормы численности творческих работников коллективов самодеятельного искусства, клубных формирований, студий, кружков в процентном отношении от численности руководителя (</w:t>
      </w:r>
      <w:hyperlink r:id="rId20" w:anchor="100016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таблица 1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приказа N 3448).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07" w:name="100108"/>
      <w:bookmarkEnd w:id="107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В случае</w:t>
      </w:r>
      <w:proofErr w:type="gramStart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,</w:t>
      </w:r>
      <w:proofErr w:type="gramEnd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если в соответствии с установленным государственным заданием и графиком занятий в (детском) коллективе самодеятельного искусства несколько (возрастных) групп, занимающихся в одно и то же время, но в разных репетиционных помещениях, нормы численности творческих работников для проведения таких занятий умножаются на количество необходимых групп.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08" w:name="100109"/>
      <w:bookmarkEnd w:id="108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25. Расчет штатной численности работников, занятых организацией и проведением культурно-массовых мероприятий, определяется на основе показателей укрупненных норм трудоемкости (количество культурно-массовых мероприятий, количество посетителей на 1 мероприятие, количество залов, классов, сценических площадок и других показателей), установленных </w:t>
      </w:r>
      <w:hyperlink r:id="rId21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приказом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N 3448.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09" w:name="100110"/>
      <w:bookmarkEnd w:id="109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Одним из наиболее важных показателей трудоемкости указанной категории работников является показатель "Количество культурно-массовых мероприятий".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10" w:name="100111"/>
      <w:bookmarkEnd w:id="110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Так, например, (</w:t>
      </w:r>
      <w:hyperlink r:id="rId22" w:anchor="100278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таблицы 4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, </w:t>
      </w:r>
      <w:hyperlink r:id="rId23" w:anchor="100365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7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приказа N 3448) государственным заданием установлено количество культурно-массовых мероприятий общей направленности на год - 75 мероприятий с общим количеством посетителей культурно-массовых мероприятий - 16 500 чел., при этом в расчет штатной численности включаются: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11" w:name="100112"/>
      <w:bookmarkEnd w:id="111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lastRenderedPageBreak/>
        <w:t>режиссер - 1 шт. ед.;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12" w:name="100113"/>
      <w:bookmarkEnd w:id="112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режиссер массовых представлений - 0,75 шт. ед.;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13" w:name="100114"/>
      <w:bookmarkEnd w:id="113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методист - 1,25 шт. ед.;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14" w:name="100115"/>
      <w:bookmarkEnd w:id="114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билетный кассир = 16 500 / 75 = 220 чел. (количество посетителей на 1 мероприятие) - 1,75 шт. ед.;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15" w:name="100116"/>
      <w:bookmarkEnd w:id="115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контролер билетов (220 чел. - количество посетителей на 1 мероприятие) 3,5 шт. ед.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16" w:name="100117"/>
      <w:bookmarkEnd w:id="116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В нормы численности работников, занятых организацией и проведением культурно-массовых мероприятий и художественно-постановочной части с учетом постановочных требований могут быть включены дополнительные должности, необходимые для выполнения поставленных задач, установленных государственным заданием (например, </w:t>
      </w:r>
      <w:hyperlink r:id="rId24" w:anchor="100239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таблицы 3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и </w:t>
      </w:r>
      <w:hyperlink r:id="rId25" w:anchor="100398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8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приказа 3448).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17" w:name="100118"/>
      <w:bookmarkEnd w:id="117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26. По тем работам, на которые в </w:t>
      </w:r>
      <w:hyperlink r:id="rId26" w:anchor="100616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таблицах 18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и </w:t>
      </w:r>
      <w:hyperlink r:id="rId27" w:anchor="100645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19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отсутствуют нормы, применяются нормы </w:t>
      </w:r>
      <w:hyperlink r:id="rId28" w:anchor="100016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таблиц 1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- </w:t>
      </w:r>
      <w:hyperlink r:id="rId29" w:anchor="100607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17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с учетом требований к введению должностей, согласно установленному государственному заданию.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18" w:name="100119"/>
      <w:bookmarkEnd w:id="118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27. Должностное категорирование (главный, ведущий, старший, 1 категории, 2 категории) устанавливается с учетом квалификационных требований, предусмотренных Единым квалификационным справочником должностей руководителей, специалистов и служащих, тарифные разряды - с учетом требований, предъявляемых к профессиональным знаниям и навыкам рабочих, согласно Единого тарифно-квалификационного справочника работ и профессий рабочих.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19" w:name="100120"/>
      <w:bookmarkEnd w:id="119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28. При отличии организационно-технических условий выполнения работ от тех, которые представлены в </w:t>
      </w:r>
      <w:hyperlink r:id="rId30" w:anchor="100010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нормах труда КДУ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, Учреждение самостоятельно вносит изменения в показатели норм труда, исходя из установленных целей и задач.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20" w:name="100121"/>
      <w:bookmarkEnd w:id="120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29. При отсутствии в </w:t>
      </w:r>
      <w:hyperlink r:id="rId31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приказе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N 3448 показателей норм труда на работы, которые выполняются в Учреждении согласно установленному государственному заданию, по ним разрабатываются нормы труда, в порядке, установленном приказом N 3448 и Методическими </w:t>
      </w:r>
      <w:hyperlink r:id="rId32" w:anchor="100009" w:history="1">
        <w:r w:rsidRPr="00D069C3">
          <w:rPr>
            <w:rFonts w:ascii="Open Sans" w:eastAsia="Times New Roman" w:hAnsi="Open Sans" w:cs="Times New Roman"/>
            <w:color w:val="005EA5"/>
            <w:sz w:val="24"/>
            <w:szCs w:val="24"/>
            <w:u w:val="single"/>
            <w:lang w:eastAsia="ru-RU"/>
          </w:rPr>
          <w:t>рекомендациями</w:t>
        </w:r>
      </w:hyperlink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N 3453, и утверждаются локальными нормативными актами учреждения.</w:t>
      </w:r>
    </w:p>
    <w:p w:rsidR="00725D59" w:rsidRPr="00725D59" w:rsidRDefault="00725D59" w:rsidP="00725D59">
      <w:pPr>
        <w:spacing w:before="100" w:beforeAutospacing="1" w:after="180" w:line="330" w:lineRule="atLeast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bookmarkStart w:id="121" w:name="100122"/>
      <w:bookmarkEnd w:id="121"/>
      <w:r w:rsidRPr="00725D59">
        <w:rPr>
          <w:rFonts w:ascii="Open Sans" w:eastAsia="Times New Roman" w:hAnsi="Open Sans" w:cs="Times New Roman"/>
          <w:sz w:val="24"/>
          <w:szCs w:val="24"/>
          <w:lang w:eastAsia="ru-RU"/>
        </w:rPr>
        <w:t>30. Формирование штатной численности административно-управленческого и вспомогательного персонала производится на основе типовых сборников норм труда, утверждаемых Минтрудом России.</w:t>
      </w:r>
    </w:p>
    <w:p w:rsidR="00725D59" w:rsidRPr="00725D59" w:rsidRDefault="00725D59" w:rsidP="00725D59">
      <w:pPr>
        <w:spacing w:line="330" w:lineRule="atLeast"/>
        <w:rPr>
          <w:rFonts w:ascii="Open Sans" w:eastAsia="Times New Roman" w:hAnsi="Open Sans" w:cs="Times New Roman"/>
          <w:sz w:val="24"/>
          <w:szCs w:val="24"/>
          <w:lang w:eastAsia="ru-RU"/>
        </w:rPr>
      </w:pPr>
    </w:p>
    <w:p w:rsidR="00EB253A" w:rsidRPr="00D069C3" w:rsidRDefault="00D069C3">
      <w:pPr>
        <w:rPr>
          <w:sz w:val="24"/>
          <w:szCs w:val="24"/>
        </w:rPr>
      </w:pPr>
    </w:p>
    <w:sectPr w:rsidR="00EB253A" w:rsidRPr="00D069C3" w:rsidSect="00F362F1">
      <w:pgSz w:w="11906" w:h="16838"/>
      <w:pgMar w:top="90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725D59"/>
    <w:rsid w:val="001E73A5"/>
    <w:rsid w:val="007167E5"/>
    <w:rsid w:val="00725D59"/>
    <w:rsid w:val="00762CEF"/>
    <w:rsid w:val="008B7E56"/>
    <w:rsid w:val="00A636BB"/>
    <w:rsid w:val="00B23BD6"/>
    <w:rsid w:val="00D069C3"/>
    <w:rsid w:val="00EB7CD6"/>
    <w:rsid w:val="00F3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5D59"/>
    <w:rPr>
      <w:color w:val="005EA5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25D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25D5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1">
    <w:name w:val="pcenter1"/>
    <w:basedOn w:val="a"/>
    <w:rsid w:val="00725D59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725D59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1">
    <w:name w:val="pright1"/>
    <w:basedOn w:val="a"/>
    <w:rsid w:val="00725D59"/>
    <w:pPr>
      <w:spacing w:before="100" w:beforeAutospacing="1" w:after="180" w:line="330" w:lineRule="atLeas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9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9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1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8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27436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1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74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rikaz-minkultury-rossii-ot-30122015-n-3448/" TargetMode="External"/><Relationship Id="rId13" Type="http://schemas.openxmlformats.org/officeDocument/2006/relationships/hyperlink" Target="http://legalacts.ru/doc/prikaz-mintruda-rossii-ot-30092013-n-504/" TargetMode="External"/><Relationship Id="rId18" Type="http://schemas.openxmlformats.org/officeDocument/2006/relationships/hyperlink" Target="http://legalacts.ru/doc/prikaz-minkultury-rossii-ot-30122015-n-3453/" TargetMode="External"/><Relationship Id="rId26" Type="http://schemas.openxmlformats.org/officeDocument/2006/relationships/hyperlink" Target="http://legalacts.ru/doc/prikaz-minkultury-rossii-ot-30122015-n-3448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legalacts.ru/doc/prikaz-minkultury-rossii-ot-30122015-n-3448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legalacts.ru/doc/prikaz-minkultury-rossii-ot-30122015-n-3453/" TargetMode="External"/><Relationship Id="rId12" Type="http://schemas.openxmlformats.org/officeDocument/2006/relationships/hyperlink" Target="http://legalacts.ru/doc/prikaz-minkultury-rossii-ot-30122015-n-3448/" TargetMode="External"/><Relationship Id="rId17" Type="http://schemas.openxmlformats.org/officeDocument/2006/relationships/hyperlink" Target="http://legalacts.ru/doc/prikaz-minkultury-rossii-ot-30122015-n-3448/" TargetMode="External"/><Relationship Id="rId25" Type="http://schemas.openxmlformats.org/officeDocument/2006/relationships/hyperlink" Target="http://legalacts.ru/doc/prikaz-minkultury-rossii-ot-30122015-n-3448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legalacts.ru/doc/prikaz-mintruda-rossii-ot-30092013-n-504/" TargetMode="External"/><Relationship Id="rId20" Type="http://schemas.openxmlformats.org/officeDocument/2006/relationships/hyperlink" Target="http://legalacts.ru/doc/prikaz-minkultury-rossii-ot-30122015-n-3448/" TargetMode="External"/><Relationship Id="rId29" Type="http://schemas.openxmlformats.org/officeDocument/2006/relationships/hyperlink" Target="http://legalacts.ru/doc/prikaz-minkultury-rossii-ot-30122015-n-3448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prikaz-minkultury-rossii-ot-30122015-n-3448/" TargetMode="External"/><Relationship Id="rId11" Type="http://schemas.openxmlformats.org/officeDocument/2006/relationships/hyperlink" Target="http://legalacts.ru/kodeks/TK-RF/" TargetMode="External"/><Relationship Id="rId24" Type="http://schemas.openxmlformats.org/officeDocument/2006/relationships/hyperlink" Target="http://legalacts.ru/doc/prikaz-minkultury-rossii-ot-30122015-n-3448/" TargetMode="External"/><Relationship Id="rId32" Type="http://schemas.openxmlformats.org/officeDocument/2006/relationships/hyperlink" Target="http://legalacts.ru/doc/prikaz-minkultury-rossii-ot-30122015-n-3453/" TargetMode="External"/><Relationship Id="rId5" Type="http://schemas.openxmlformats.org/officeDocument/2006/relationships/hyperlink" Target="http://legalacts.ru/doc/rasporjazhenie-pravitelstva-rf-ot-26112012-n-2190-r/" TargetMode="External"/><Relationship Id="rId15" Type="http://schemas.openxmlformats.org/officeDocument/2006/relationships/hyperlink" Target="http://legalacts.ru/doc/prikaz-mintruda-rossii-ot-30092013-n-504/" TargetMode="External"/><Relationship Id="rId23" Type="http://schemas.openxmlformats.org/officeDocument/2006/relationships/hyperlink" Target="http://legalacts.ru/doc/prikaz-minkultury-rossii-ot-30122015-n-3448/" TargetMode="External"/><Relationship Id="rId28" Type="http://schemas.openxmlformats.org/officeDocument/2006/relationships/hyperlink" Target="http://legalacts.ru/doc/prikaz-minkultury-rossii-ot-30122015-n-3448/" TargetMode="External"/><Relationship Id="rId10" Type="http://schemas.openxmlformats.org/officeDocument/2006/relationships/hyperlink" Target="http://legalacts.ru/doc/prikaz-minkultury-rossii-ot-30122015-n-3448/" TargetMode="External"/><Relationship Id="rId19" Type="http://schemas.openxmlformats.org/officeDocument/2006/relationships/hyperlink" Target="http://legalacts.ru/kodeks/TK-RF/chast-iii/razdel-iv/glava-15/" TargetMode="External"/><Relationship Id="rId31" Type="http://schemas.openxmlformats.org/officeDocument/2006/relationships/hyperlink" Target="http://legalacts.ru/doc/prikaz-minkultury-rossii-ot-30122015-n-3448/" TargetMode="External"/><Relationship Id="rId4" Type="http://schemas.openxmlformats.org/officeDocument/2006/relationships/hyperlink" Target="http://legalacts.ru/doc/pismo-minkultury-rossii-ot-14072016-n-217-01-39-nm/" TargetMode="External"/><Relationship Id="rId9" Type="http://schemas.openxmlformats.org/officeDocument/2006/relationships/hyperlink" Target="http://legalacts.ru/doc/prikaz-minkultury-rossii-ot-30122015-n-3448/" TargetMode="External"/><Relationship Id="rId14" Type="http://schemas.openxmlformats.org/officeDocument/2006/relationships/hyperlink" Target="http://legalacts.ru/doc/prikaz-mintruda-rossii-ot-30092013-n-504/" TargetMode="External"/><Relationship Id="rId22" Type="http://schemas.openxmlformats.org/officeDocument/2006/relationships/hyperlink" Target="http://legalacts.ru/doc/prikaz-minkultury-rossii-ot-30122015-n-3448/" TargetMode="External"/><Relationship Id="rId27" Type="http://schemas.openxmlformats.org/officeDocument/2006/relationships/hyperlink" Target="http://legalacts.ru/doc/prikaz-minkultury-rossii-ot-30122015-n-3448/" TargetMode="External"/><Relationship Id="rId30" Type="http://schemas.openxmlformats.org/officeDocument/2006/relationships/hyperlink" Target="http://legalacts.ru/doc/prikaz-minkultury-rossii-ot-30122015-n-34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3599</Words>
  <Characters>20515</Characters>
  <Application>Microsoft Office Word</Application>
  <DocSecurity>0</DocSecurity>
  <Lines>170</Lines>
  <Paragraphs>48</Paragraphs>
  <ScaleCrop>false</ScaleCrop>
  <Company>Krokoz™ Inc.</Company>
  <LinksUpToDate>false</LinksUpToDate>
  <CharactersWithSpaces>24066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3</cp:revision>
  <dcterms:created xsi:type="dcterms:W3CDTF">2017-07-17T07:38:00Z</dcterms:created>
  <dcterms:modified xsi:type="dcterms:W3CDTF">2017-07-17T07:38:00Z</dcterms:modified>
</cp:coreProperties>
</file>